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rFonts w:ascii="Calibri" w:cs="Calibri" w:eastAsia="Calibri" w:hAnsi="Calibri"/>
          <w:b/>
          <w:bCs/>
          <w:color w:val="595959"/>
          <w:sz w:val="16"/>
          <w:szCs w:val="16"/>
        </w:rPr>
        <w:t xml:space="preserve">2026 AGM — SEATTLE</w:t>
      </w:r>
    </w:p>
    <w:p>
      <w:pPr>
        <w:pBdr>
          <w:bottom w:val="single" w:color="1F3864" w:sz="12" w:space="4"/>
        </w:pBdr>
        <w:spacing w:after="160"/>
      </w:pPr>
      <w:r>
        <w:rPr>
          <w:rFonts w:ascii="Calibri" w:cs="Calibri" w:eastAsia="Calibri" w:hAnsi="Calibri"/>
          <w:b/>
          <w:bCs/>
          <w:color w:val="1F3864"/>
          <w:sz w:val="32"/>
          <w:szCs w:val="32"/>
        </w:rPr>
        <w:t xml:space="preserve">Appeals Committee Report</w:t>
      </w:r>
    </w:p>
    <w:tbl>
      <w:tblPr>
        <w:tblW w:type="dxa" w:w="10440"/>
        <w:tblBorders>
          <w:top w:val="single" w:color="auto" w:sz="4"/>
          <w:left w:val="single" w:color="auto" w:sz="4"/>
          <w:bottom w:val="single" w:color="auto" w:sz="4"/>
          <w:right w:val="single" w:color="auto" w:sz="4"/>
          <w:insideH w:val="single" w:color="auto" w:sz="4"/>
          <w:insideV w:val="single" w:color="auto" w:sz="4"/>
        </w:tblBorders>
      </w:tblPr>
      <w:tblGrid>
        <w:gridCol w:w="2400"/>
        <w:gridCol w:w="8040"/>
      </w:tblGrid>
      <w:tr>
        <w:tc>
          <w:tcPr>
            <w:tcW w:type="dxa" w:w="2400"/>
            <w:shd w:fill="EDEDED" w:val="clear"/>
            <w:tcMar>
              <w:top w:type="dxa" w:w="60"/>
              <w:left w:type="dxa" w:w="100"/>
              <w:bottom w:type="dxa" w:w="60"/>
              <w:right w:type="dxa" w:w="100"/>
            </w:tcMar>
          </w:tcPr>
          <w:p>
            <w:r>
              <w:rPr>
                <w:rFonts w:ascii="Calibri" w:cs="Calibri" w:eastAsia="Calibri" w:hAnsi="Calibri"/>
                <w:b/>
                <w:bCs/>
                <w:sz w:val="18"/>
                <w:szCs w:val="18"/>
              </w:rPr>
              <w:t xml:space="preserve">Committee Chair</w:t>
            </w:r>
          </w:p>
        </w:tc>
        <w:tc>
          <w:tcPr>
            <w:tcW w:type="dxa" w:w="8040"/>
            <w:tcMar>
              <w:top w:type="dxa" w:w="60"/>
              <w:left w:type="dxa" w:w="100"/>
              <w:bottom w:type="dxa" w:w="60"/>
              <w:right w:type="dxa" w:w="100"/>
            </w:tcMar>
          </w:tcPr>
          <w:p>
            <w:r>
              <w:rPr>
                <w:rFonts w:ascii="Calibri" w:cs="Calibri" w:eastAsia="Calibri" w:hAnsi="Calibri"/>
                <w:sz w:val="18"/>
                <w:szCs w:val="18"/>
              </w:rPr>
              <w:t xml:space="preserve">Jeanne Smith   |   sokher12@hotmail.com</w:t>
            </w:r>
          </w:p>
        </w:tc>
      </w:tr>
      <w:tr>
        <w:tc>
          <w:tcPr>
            <w:tcW w:type="dxa" w:w="2400"/>
            <w:shd w:fill="EDEDED" w:val="clear"/>
            <w:tcMar>
              <w:top w:type="dxa" w:w="60"/>
              <w:left w:type="dxa" w:w="100"/>
              <w:bottom w:type="dxa" w:w="60"/>
              <w:right w:type="dxa" w:w="100"/>
            </w:tcMar>
          </w:tcPr>
          <w:p>
            <w:r>
              <w:rPr>
                <w:rFonts w:ascii="Calibri" w:cs="Calibri" w:eastAsia="Calibri" w:hAnsi="Calibri"/>
                <w:b/>
                <w:bCs/>
                <w:sz w:val="18"/>
                <w:szCs w:val="18"/>
              </w:rPr>
              <w:t xml:space="preserve">Committee Members</w:t>
            </w:r>
          </w:p>
        </w:tc>
        <w:tc>
          <w:tcPr>
            <w:tcW w:type="dxa" w:w="8040"/>
            <w:tcMar>
              <w:top w:type="dxa" w:w="60"/>
              <w:left w:type="dxa" w:w="100"/>
              <w:bottom w:type="dxa" w:w="60"/>
              <w:right w:type="dxa" w:w="100"/>
            </w:tcMar>
          </w:tcPr>
          <w:p>
            <w:r>
              <w:rPr>
                <w:rFonts w:ascii="Calibri" w:cs="Calibri" w:eastAsia="Calibri" w:hAnsi="Calibri"/>
                <w:sz w:val="18"/>
                <w:szCs w:val="18"/>
              </w:rPr>
              <w:t xml:space="preserve">Matt Hawkins; Bruno Trapikas; Jim Walker</w:t>
            </w:r>
          </w:p>
        </w:tc>
      </w:tr>
    </w:tbl>
    <w:p>
      <w:pPr>
        <w:pBdr>
          <w:bottom w:val="single" w:color="1F3864" w:sz="6" w:space="2"/>
        </w:pBdr>
        <w:spacing w:after="60" w:before="160"/>
      </w:pPr>
      <w:r>
        <w:rPr>
          <w:rFonts w:ascii="Calibri" w:cs="Calibri" w:eastAsia="Calibri" w:hAnsi="Calibri"/>
          <w:b/>
          <w:bCs/>
          <w:color w:val="1F3864"/>
          <w:sz w:val="18"/>
          <w:szCs w:val="18"/>
        </w:rPr>
        <w:t xml:space="preserve">KEY ACCOMPLISHMENTS THIS YEAR</w:t>
      </w:r>
    </w:p>
    <w:p>
      <w:pPr>
        <w:pStyle w:val="ListParagraph"/>
        <w:numPr>
          <w:ilvl w:val="0"/>
          <w:numId w:val="2"/>
        </w:numPr>
        <w:spacing w:after="40"/>
      </w:pPr>
      <w:r>
        <w:rPr>
          <w:rFonts w:ascii="Calibri" w:cs="Calibri" w:eastAsia="Calibri" w:hAnsi="Calibri"/>
          <w:sz w:val="19"/>
          <w:szCs w:val="19"/>
        </w:rPr>
        <w:t xml:space="preserve">New York East Soccer Club (NYESC) vs Eastern New York Soccer Association (ENYSSA) appeal of denial of direct affiliation with ENYSSA. Appeal denied due to ENYSSA Article II, General Regulation, Section 1.</w:t>
      </w:r>
    </w:p>
    <w:p>
      <w:pPr>
        <w:pStyle w:val="ListParagraph"/>
        <w:numPr>
          <w:ilvl w:val="0"/>
          <w:numId w:val="2"/>
        </w:numPr>
        <w:spacing w:after="40"/>
      </w:pPr>
      <w:r>
        <w:rPr>
          <w:rFonts w:ascii="Calibri" w:cs="Calibri" w:eastAsia="Calibri" w:hAnsi="Calibri"/>
          <w:sz w:val="19"/>
          <w:szCs w:val="19"/>
        </w:rPr>
        <w:t xml:space="preserve">Doxa SC appealed the decision of the APSL to replay a match against Leros SC, who knowingly fielded an ineligible player. In accordance with APSL policy 7.7, Doxa SC was awarded the game at a 3-0 forfeit for Leros SC.</w:t>
      </w:r>
    </w:p>
    <w:p>
      <w:pPr>
        <w:pStyle w:val="ListParagraph"/>
        <w:numPr>
          <w:ilvl w:val="0"/>
          <w:numId w:val="2"/>
        </w:numPr>
        <w:spacing w:after="40"/>
      </w:pPr>
      <w:r>
        <w:rPr>
          <w:rFonts w:ascii="Calibri" w:cs="Calibri" w:eastAsia="Calibri" w:hAnsi="Calibri"/>
          <w:sz w:val="19"/>
          <w:szCs w:val="19"/>
        </w:rPr>
        <w:t xml:space="preserve">Appeal of Chicago House to determine if Nico Williams was considered a professional player, thereby disqualifying Chicago House from the Amateur Cup. US Soccer does not recognize Nico Williams as a professional player, therefore he is allowed on the team and Chicago House is allowed to play in the Amateur Cup.</w:t>
      </w:r>
    </w:p>
    <w:p>
      <w:pPr>
        <w:pStyle w:val="ListParagraph"/>
        <w:numPr>
          <w:ilvl w:val="0"/>
          <w:numId w:val="2"/>
        </w:numPr>
        <w:spacing w:after="40"/>
      </w:pPr>
      <w:r>
        <w:rPr>
          <w:rFonts w:ascii="Calibri" w:cs="Calibri" w:eastAsia="Calibri" w:hAnsi="Calibri"/>
          <w:sz w:val="19"/>
          <w:szCs w:val="19"/>
        </w:rPr>
        <w:t xml:space="preserve">Referee Assault by Blair Springhall. No clear evidence of referee assault, and conflicting stories were provided. Ruling — Mr. Springhall should serve punishment for Verbal Abuse for a two-game suspension with time served if Mr. Springhall had already missed two games.</w:t>
      </w:r>
    </w:p>
    <w:p>
      <w:pPr>
        <w:pStyle w:val="ListParagraph"/>
        <w:numPr>
          <w:ilvl w:val="0"/>
          <w:numId w:val="2"/>
        </w:numPr>
        <w:spacing w:after="40"/>
      </w:pPr>
      <w:r>
        <w:rPr>
          <w:rFonts w:ascii="Calibri" w:cs="Calibri" w:eastAsia="Calibri" w:hAnsi="Calibri"/>
          <w:sz w:val="19"/>
          <w:szCs w:val="19"/>
        </w:rPr>
        <w:t xml:space="preserve">Appeal by California Storm vs WPSL for allowing Kansas City Current II to play an ineligible player in the WPSL National Semifinal Playoff game. In accordance with WPSL Operational Rule 3.03, the player was ineligible because she had not played two regular season games. The Committee found in favor of the California Storm appeal; the Operational Manual needs to be updated to reflect the needed changes.</w:t>
      </w:r>
    </w:p>
    <w:p>
      <w:pPr>
        <w:pBdr>
          <w:bottom w:val="single" w:color="1F3864" w:sz="6" w:space="2"/>
        </w:pBdr>
        <w:spacing w:after="60" w:before="160"/>
      </w:pPr>
      <w:r>
        <w:rPr>
          <w:rFonts w:ascii="Calibri" w:cs="Calibri" w:eastAsia="Calibri" w:hAnsi="Calibri"/>
          <w:b/>
          <w:bCs/>
          <w:color w:val="1F3864"/>
          <w:sz w:val="18"/>
          <w:szCs w:val="18"/>
        </w:rPr>
        <w:t xml:space="preserve">ONGOING PROJECTS AND UPDATES</w:t>
      </w:r>
    </w:p>
    <w:p>
      <w:pPr>
        <w:pStyle w:val="ListParagraph"/>
        <w:numPr>
          <w:ilvl w:val="0"/>
          <w:numId w:val="2"/>
        </w:numPr>
        <w:spacing w:after="40"/>
      </w:pPr>
      <w:r>
        <w:rPr>
          <w:rFonts w:ascii="Calibri" w:cs="Calibri" w:eastAsia="Calibri" w:hAnsi="Calibri"/>
          <w:sz w:val="19"/>
          <w:szCs w:val="19"/>
        </w:rPr>
        <w:t xml:space="preserve">As they come.</w:t>
      </w:r>
    </w:p>
    <w:p>
      <w:pPr>
        <w:pBdr>
          <w:bottom w:val="single" w:color="1F3864" w:sz="6" w:space="2"/>
        </w:pBdr>
        <w:spacing w:after="60" w:before="160"/>
      </w:pPr>
      <w:r>
        <w:rPr>
          <w:rFonts w:ascii="Calibri" w:cs="Calibri" w:eastAsia="Calibri" w:hAnsi="Calibri"/>
          <w:b/>
          <w:bCs/>
          <w:color w:val="1F3864"/>
          <w:sz w:val="18"/>
          <w:szCs w:val="18"/>
        </w:rPr>
        <w:t xml:space="preserve">NARRATIVE</w:t>
      </w:r>
    </w:p>
    <w:p>
      <w:pPr>
        <w:spacing w:after="60"/>
      </w:pPr>
      <w:r>
        <w:rPr>
          <w:rFonts w:ascii="Calibri" w:cs="Calibri" w:eastAsia="Calibri" w:hAnsi="Calibri"/>
          <w:sz w:val="19"/>
          <w:szCs w:val="19"/>
        </w:rPr>
        <w:t xml:space="preserve">After listening to all the appeals and complaints, it is obvious that rules and regulations need to be upheld at the level in which they are played. Hopefully the Committee's findings will generate this. I would like to thank everyone on this Committee for their time and dedication to making the proper decisions.</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15"/>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2026-09-01T16:16:50.587Z</dcterms:created>
  <dcterms:modified xsi:type="dcterms:W3CDTF">2026-09-01T16:16:50.587Z</dcterms:modified>
</cp:coreProperties>
</file>

<file path=docProps/custom.xml><?xml version="1.0" encoding="utf-8"?>
<Properties xmlns="http://schemas.openxmlformats.org/officeDocument/2006/custom-properties" xmlns:vt="http://schemas.openxmlformats.org/officeDocument/2006/docPropsVTypes"/>
</file>